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t>附件1</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 w:val="0"/>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i w:val="0"/>
          <w:caps w:val="0"/>
          <w:color w:val="auto"/>
          <w:spacing w:val="0"/>
          <w:kern w:val="0"/>
          <w:sz w:val="44"/>
          <w:szCs w:val="44"/>
          <w:shd w:val="clear" w:fill="FFFFFF"/>
          <w:lang w:val="en-US" w:eastAsia="zh-CN" w:bidi="ar"/>
        </w:rPr>
        <w:t>2026年襄阳市科协项目申报指南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一、科普教育基地项目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color w:val="auto"/>
          <w:sz w:val="32"/>
          <w:szCs w:val="32"/>
          <w:lang w:eastAsia="zh-CN"/>
        </w:rPr>
        <w:t>巩固发展一批科普教育基地，鼓励支持其发挥阵地作用，积极开展特色活动，提供科普服务，壮大科普队伍，叫响科普品牌。</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color w:val="auto"/>
          <w:sz w:val="32"/>
          <w:szCs w:val="32"/>
          <w:lang w:val="en-US" w:eastAsia="zh-CN"/>
        </w:rPr>
        <w:t>5项。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color w:val="auto"/>
          <w:sz w:val="32"/>
          <w:szCs w:val="32"/>
          <w:lang w:val="en-US" w:eastAsia="zh-CN"/>
        </w:rPr>
        <w:t>2万元/项。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sz w:val="32"/>
          <w:szCs w:val="40"/>
        </w:rPr>
        <w:t>由科技、教育、文化、卫生、农业、安全、自然资源、旅游等领域机构兴办，面向社会和公众开放，具有科普和教育功能的</w:t>
      </w:r>
      <w:r>
        <w:rPr>
          <w:rFonts w:hint="eastAsia" w:ascii="方正仿宋_GBK" w:hAnsi="方正仿宋_GBK" w:eastAsia="方正仿宋_GBK" w:cs="方正仿宋_GBK"/>
          <w:sz w:val="32"/>
          <w:szCs w:val="40"/>
          <w:lang w:eastAsia="zh-CN"/>
        </w:rPr>
        <w:t>市场主体</w:t>
      </w:r>
      <w:r>
        <w:rPr>
          <w:rFonts w:hint="eastAsia" w:ascii="方正仿宋_GBK" w:hAnsi="方正仿宋_GBK" w:eastAsia="方正仿宋_GBK" w:cs="方正仿宋_GBK"/>
          <w:sz w:val="32"/>
          <w:szCs w:val="40"/>
        </w:rPr>
        <w:t>，或由</w:t>
      </w:r>
      <w:r>
        <w:rPr>
          <w:rFonts w:hint="eastAsia" w:ascii="方正仿宋_GBK" w:hAnsi="方正仿宋_GBK" w:eastAsia="方正仿宋_GBK" w:cs="方正仿宋_GBK"/>
          <w:sz w:val="32"/>
          <w:szCs w:val="40"/>
          <w:lang w:eastAsia="zh-CN"/>
        </w:rPr>
        <w:t>市</w:t>
      </w:r>
      <w:r>
        <w:rPr>
          <w:rFonts w:hint="eastAsia" w:ascii="方正仿宋_GBK" w:hAnsi="方正仿宋_GBK" w:eastAsia="方正仿宋_GBK" w:cs="方正仿宋_GBK"/>
          <w:sz w:val="32"/>
          <w:szCs w:val="40"/>
        </w:rPr>
        <w:t>县</w:t>
      </w:r>
      <w:r>
        <w:rPr>
          <w:rFonts w:hint="eastAsia" w:ascii="方正仿宋_GBK" w:hAnsi="方正仿宋_GBK" w:eastAsia="方正仿宋_GBK" w:cs="方正仿宋_GBK"/>
          <w:sz w:val="32"/>
          <w:szCs w:val="40"/>
          <w:lang w:eastAsia="zh-CN"/>
        </w:rPr>
        <w:t>两</w:t>
      </w:r>
      <w:r>
        <w:rPr>
          <w:rFonts w:hint="eastAsia" w:ascii="方正仿宋_GBK" w:hAnsi="方正仿宋_GBK" w:eastAsia="方正仿宋_GBK" w:cs="方正仿宋_GBK"/>
          <w:sz w:val="32"/>
          <w:szCs w:val="40"/>
        </w:rPr>
        <w:t>级科协认定的科普</w:t>
      </w:r>
      <w:r>
        <w:rPr>
          <w:rFonts w:hint="eastAsia" w:ascii="方正仿宋_GBK" w:hAnsi="方正仿宋_GBK" w:eastAsia="方正仿宋_GBK" w:cs="方正仿宋_GBK"/>
          <w:sz w:val="32"/>
          <w:szCs w:val="40"/>
          <w:lang w:eastAsia="zh-CN"/>
        </w:rPr>
        <w:t>教育</w:t>
      </w:r>
      <w:r>
        <w:rPr>
          <w:rFonts w:hint="eastAsia" w:ascii="方正仿宋_GBK" w:hAnsi="方正仿宋_GBK" w:eastAsia="方正仿宋_GBK" w:cs="方正仿宋_GBK"/>
          <w:sz w:val="32"/>
          <w:szCs w:val="40"/>
        </w:rPr>
        <w:t>基地</w:t>
      </w:r>
      <w:r>
        <w:rPr>
          <w:rFonts w:hint="eastAsia" w:ascii="方正仿宋_GBK" w:hAnsi="方正仿宋_GBK" w:eastAsia="方正仿宋_GBK" w:cs="方正仿宋_GBK"/>
          <w:sz w:val="32"/>
          <w:szCs w:val="40"/>
          <w:lang w:eastAsia="zh-CN"/>
        </w:rPr>
        <w:t>依托</w:t>
      </w:r>
      <w:r>
        <w:rPr>
          <w:rFonts w:hint="eastAsia" w:ascii="方正仿宋_GBK" w:hAnsi="方正仿宋_GBK" w:eastAsia="方正仿宋_GBK" w:cs="方正仿宋_GBK"/>
          <w:sz w:val="32"/>
          <w:szCs w:val="40"/>
        </w:rPr>
        <w:t>单位。</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申报条件：</w:t>
      </w:r>
      <w:r>
        <w:rPr>
          <w:rFonts w:hint="eastAsia" w:ascii="方正仿宋_GBK" w:hAnsi="方正仿宋_GBK" w:eastAsia="方正仿宋_GBK" w:cs="方正仿宋_GBK"/>
          <w:b w:val="0"/>
          <w:bCs w:val="0"/>
          <w:color w:val="auto"/>
          <w:sz w:val="32"/>
          <w:szCs w:val="32"/>
          <w:lang w:val="en-US" w:eastAsia="zh-CN"/>
        </w:rPr>
        <w:t>具有法人资格的单位或受法人单位依法委托独立开展科普活动的单位、团体，</w:t>
      </w:r>
      <w:r>
        <w:rPr>
          <w:rFonts w:hint="eastAsia" w:ascii="方正仿宋_GBK" w:hAnsi="方正仿宋_GBK" w:eastAsia="方正仿宋_GBK" w:cs="方正仿宋_GBK"/>
          <w:b w:val="0"/>
          <w:bCs w:val="0"/>
          <w:i w:val="0"/>
          <w:iCs w:val="0"/>
          <w:caps w:val="0"/>
          <w:color w:val="333333"/>
          <w:spacing w:val="0"/>
          <w:kern w:val="0"/>
          <w:sz w:val="32"/>
          <w:szCs w:val="32"/>
          <w:shd w:val="clear" w:fill="FFFFFF"/>
          <w:lang w:val="en-US" w:eastAsia="zh-CN" w:bidi="ar"/>
        </w:rPr>
        <w:t>具有鲜明的科普主题，具备与开展科普工作相匹配的资源、设施、场所、</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有明显的科普标识等条件，</w:t>
      </w:r>
      <w:r>
        <w:rPr>
          <w:rFonts w:hint="eastAsia" w:ascii="方正仿宋_GBK" w:hAnsi="方正仿宋_GBK" w:eastAsia="方正仿宋_GBK" w:cs="方正仿宋_GBK"/>
          <w:color w:val="auto"/>
          <w:sz w:val="32"/>
          <w:szCs w:val="32"/>
          <w:lang w:val="en-US" w:eastAsia="zh-CN"/>
        </w:rPr>
        <w:t>建有科技志愿服务队，科技志愿者队伍不少于10人、有专兼职科普讲解员。上年度开展公益科普活动不少于5场次，全年科普服务受众不低于500人。支持“襄约学科学”公共科普服务品牌建设，接受市县科协的科普工作指导和督导，完成其交办的科普工作任务。</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sz w:val="32"/>
          <w:szCs w:val="32"/>
        </w:rPr>
        <w:t>2026年10月30日前完成项目并提交项目完成报告。</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color w:val="auto"/>
          <w:sz w:val="32"/>
          <w:szCs w:val="32"/>
          <w:lang w:val="en-US" w:eastAsia="zh-CN"/>
        </w:rPr>
        <w:t>绩效指标：</w:t>
      </w:r>
      <w:r>
        <w:rPr>
          <w:rFonts w:hint="eastAsia" w:ascii="方正仿宋_GBK" w:hAnsi="方正仿宋_GBK" w:eastAsia="方正仿宋_GBK" w:cs="方正仿宋_GBK"/>
          <w:sz w:val="32"/>
          <w:szCs w:val="32"/>
        </w:rPr>
        <w:t>①立足基地特色，有显著的的科普标识1处，制定科普服务清单，常态化面向公众提供1项公益科普服务。②使用“襄约学科学”品牌开展科普活动不少于5场次，所有活动使用“襄约学科学”品牌LOGO。其中：全国科普月期间不少于2场次、“襄阳科学讲堂”活动不少于1场次。③全年科普研学、科普活动、科普旅游、科普参观活动参与公众不少于</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000人次。④利用本单位特色优质科教资源，自主开发高质量原创科普</w:t>
      </w:r>
      <w:r>
        <w:rPr>
          <w:rFonts w:hint="eastAsia" w:ascii="方正仿宋_GBK" w:hAnsi="方正仿宋_GBK" w:eastAsia="方正仿宋_GBK" w:cs="方正仿宋_GBK"/>
          <w:sz w:val="32"/>
          <w:szCs w:val="32"/>
          <w:lang w:eastAsia="zh-CN"/>
        </w:rPr>
        <w:t>宣传册</w:t>
      </w:r>
      <w:r>
        <w:rPr>
          <w:rFonts w:hint="eastAsia" w:ascii="方正仿宋_GBK" w:hAnsi="方正仿宋_GBK" w:eastAsia="方正仿宋_GBK" w:cs="方正仿宋_GBK"/>
          <w:sz w:val="32"/>
          <w:szCs w:val="32"/>
        </w:rPr>
        <w:t>、视频、书籍、课程等科普资源不少于1项。⑤规范项目实施，所有活动均在“大美志愿”小程序发布</w:t>
      </w:r>
      <w:r>
        <w:rPr>
          <w:rFonts w:hint="eastAsia" w:ascii="方正仿宋_GBK" w:hAnsi="方正仿宋_GBK" w:eastAsia="方正仿宋_GBK" w:cs="方正仿宋_GBK"/>
          <w:sz w:val="32"/>
          <w:szCs w:val="32"/>
          <w:lang w:eastAsia="zh-CN"/>
        </w:rPr>
        <w:t>，志愿者队伍不少于</w:t>
      </w:r>
      <w:r>
        <w:rPr>
          <w:rFonts w:hint="eastAsia" w:ascii="方正仿宋_GBK" w:hAnsi="方正仿宋_GBK" w:eastAsia="方正仿宋_GBK" w:cs="方正仿宋_GBK"/>
          <w:sz w:val="32"/>
          <w:szCs w:val="32"/>
          <w:lang w:val="en-US" w:eastAsia="zh-CN"/>
        </w:rPr>
        <w:t>50人</w:t>
      </w:r>
      <w:r>
        <w:rPr>
          <w:rFonts w:hint="eastAsia" w:ascii="方正仿宋_GBK" w:hAnsi="方正仿宋_GBK" w:eastAsia="方正仿宋_GBK" w:cs="方正仿宋_GBK"/>
          <w:sz w:val="32"/>
          <w:szCs w:val="32"/>
        </w:rPr>
        <w:t>；入驻“科普地图”微信小程序；在各级媒体及相关平台发布宣传信息不少于2篇。⑥接受市</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科协的科普工作指导和督导，完成1项指定性科普工作任务。⑦项目经费需专项列支、规范使用。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二、</w:t>
      </w:r>
      <w:r>
        <w:rPr>
          <w:rFonts w:hint="eastAsia" w:ascii="方正黑体_GBK" w:hAnsi="方正黑体_GBK" w:eastAsia="方正黑体_GBK" w:cs="方正黑体_GBK"/>
          <w:color w:val="auto"/>
          <w:sz w:val="32"/>
          <w:szCs w:val="32"/>
          <w:lang w:val="en-US" w:eastAsia="zh-CN"/>
        </w:rPr>
        <w:t>科技助力乡村振兴行动项目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color w:val="auto"/>
          <w:sz w:val="32"/>
          <w:szCs w:val="32"/>
          <w:lang w:val="en-US" w:eastAsia="zh-CN"/>
        </w:rPr>
        <w:t>实地调研和需求征集、组建专家服务团、开展服务活动、农技协组织提能、农村科普科技志愿服务等。</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color w:val="auto"/>
          <w:sz w:val="32"/>
          <w:szCs w:val="32"/>
          <w:lang w:val="en-US" w:eastAsia="zh-CN"/>
        </w:rPr>
        <w:t>1项。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color w:val="auto"/>
          <w:sz w:val="32"/>
          <w:szCs w:val="32"/>
          <w:lang w:val="en-US" w:eastAsia="zh-CN"/>
        </w:rPr>
        <w:t>5万元。</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color w:val="auto"/>
          <w:sz w:val="32"/>
          <w:szCs w:val="32"/>
          <w:lang w:val="en-US" w:eastAsia="zh-CN"/>
        </w:rPr>
        <w:t>科协组织管理并经民政部门登记年审的市级、县（市、区）级农技协。</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申报条件：</w:t>
      </w:r>
      <w:r>
        <w:rPr>
          <w:rFonts w:hint="eastAsia" w:ascii="方正仿宋_GBK" w:hAnsi="方正仿宋_GBK" w:eastAsia="方正仿宋_GBK" w:cs="方正仿宋_GBK"/>
          <w:color w:val="auto"/>
          <w:sz w:val="32"/>
          <w:szCs w:val="32"/>
          <w:lang w:val="en-US" w:eastAsia="zh-CN"/>
        </w:rPr>
        <w:t>申报主体须具有独立法人资格，不接受非法人单位和个人申报。应持续开展农村科普及相关活动满2年以上，在审验有效期内，有独立稳定的办公场所和固定的工作人员，组织框架完整，工作业绩明显。</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color w:val="auto"/>
          <w:sz w:val="32"/>
          <w:szCs w:val="32"/>
          <w:lang w:val="en-US" w:eastAsia="zh-CN"/>
        </w:rPr>
        <w:t>2026年11月30日前完成项目并</w:t>
      </w:r>
      <w:r>
        <w:rPr>
          <w:rFonts w:hint="eastAsia" w:ascii="方正仿宋_GBK" w:hAnsi="方正仿宋_GBK" w:eastAsia="方正仿宋_GBK" w:cs="方正仿宋_GBK"/>
          <w:sz w:val="32"/>
          <w:szCs w:val="32"/>
        </w:rPr>
        <w:t>提交项目完成报告。</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绩效指标：</w:t>
      </w:r>
      <w:r>
        <w:rPr>
          <w:rFonts w:hint="eastAsia" w:ascii="方正仿宋_GBK" w:hAnsi="方正仿宋_GBK" w:eastAsia="方正仿宋_GBK" w:cs="方正仿宋_GBK"/>
          <w:b w:val="0"/>
          <w:bCs w:val="0"/>
          <w:color w:val="auto"/>
          <w:sz w:val="32"/>
          <w:szCs w:val="32"/>
          <w:lang w:val="en-US" w:eastAsia="zh-CN"/>
        </w:rPr>
        <w:t>①</w:t>
      </w:r>
      <w:r>
        <w:rPr>
          <w:rFonts w:hint="eastAsia" w:ascii="方正仿宋_GBK" w:hAnsi="方正仿宋_GBK" w:eastAsia="方正仿宋_GBK" w:cs="方正仿宋_GBK"/>
          <w:color w:val="auto"/>
          <w:sz w:val="32"/>
          <w:szCs w:val="32"/>
          <w:lang w:val="en-US" w:eastAsia="zh-CN"/>
        </w:rPr>
        <w:t>实地调研和需求征集:项目执行单位梳理分析襄阳本地农技协发展状况、相互关系与各自独特优势、特色成果等，形成1篇调研报告。组织县级农技协开展农业产业技术需求征集不少于40项，结合实际确定面向9个县(市、区)提供农业产业技术培训、现场指导服务不少于30项。②组建专家服务团:项目执行单位围绕拟实施技术培训、现场指导服务内容，组建不少于5个科技助力乡村振兴专家服务团，每团成员不少于2人，其中1名需具备副高级职称。③组织开展服务活动:项目执行单位组织专家团赴技术需求所在地组织开展农业技术培训、现场指导活动，其中深入各个县(市、区)开展集中技术培训不少于1次、现场指导不少于2次。全年开展线上培训不少于3次，服务活动发放农技宣传资料不少于3000份，受众不低于2万人次。④农技协组织提能:发挥联合会带动作用，组织不少于10家基层农技协、科技小院参与活动，引导基层农技协、科技小院面向农民开展农技培训、田间指导等服务不少于20场次；督促各县(市、区)农技协联合会规范运营。⑤其他要求：集中培训服务需提供培训清单，包含培训地点、参加人数、培训内容、培训照片和签到表等；现场指导服务需提供现场活动照片，并通过“大美志愿”平台发布科技志愿服务活动不少于5场次。将项目执行与全国科技工作者日、全国科普月农技协联合活动相结合，完成市科协交办的农村科普、科技志愿服务任务。⑥完成市科协交办的临时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color w:val="auto"/>
          <w:sz w:val="32"/>
          <w:szCs w:val="32"/>
          <w:lang w:val="en-US" w:eastAsia="zh-CN"/>
        </w:rPr>
        <w:t>三、全国科普月活动项目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color w:val="auto"/>
          <w:sz w:val="32"/>
          <w:szCs w:val="32"/>
          <w:lang w:val="en-US" w:eastAsia="zh-CN"/>
        </w:rPr>
        <w:t>活动策划宣传、启动仪式、主场展示、特色活动、现场保障、配合行动等。</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color w:val="auto"/>
          <w:sz w:val="32"/>
          <w:szCs w:val="32"/>
          <w:lang w:val="en-US" w:eastAsia="zh-CN"/>
        </w:rPr>
        <w:t>1项。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color w:val="auto"/>
          <w:sz w:val="32"/>
          <w:szCs w:val="32"/>
          <w:lang w:val="en-US" w:eastAsia="zh-CN"/>
        </w:rPr>
        <w:t>6万元。</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color w:val="auto"/>
          <w:sz w:val="32"/>
          <w:szCs w:val="32"/>
          <w:lang w:val="en-US" w:eastAsia="zh-CN"/>
        </w:rPr>
        <w:t>成立企事业单位科协组织的独立法人；市科协所属学会、协会。</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申报条件：</w:t>
      </w:r>
      <w:r>
        <w:rPr>
          <w:rFonts w:hint="eastAsia" w:ascii="方正仿宋_GBK" w:hAnsi="方正仿宋_GBK" w:eastAsia="方正仿宋_GBK" w:cs="方正仿宋_GBK"/>
          <w:color w:val="auto"/>
          <w:sz w:val="32"/>
          <w:szCs w:val="32"/>
          <w:lang w:val="en-US" w:eastAsia="zh-CN"/>
        </w:rPr>
        <w:t>申报主体须具有独立法人资格，不接受非法人单位和个人申报。应持续开展大型活动策划组织满2年以上，在审验有效期内，有独立稳定的办公场所和固定的工作人员，组织框架完整，工作业绩明显。</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color w:val="auto"/>
          <w:sz w:val="32"/>
          <w:szCs w:val="32"/>
          <w:lang w:val="en-US" w:eastAsia="zh-CN"/>
        </w:rPr>
        <w:t>2026年9月30日前完成项目并</w:t>
      </w:r>
      <w:r>
        <w:rPr>
          <w:rFonts w:hint="eastAsia" w:ascii="方正仿宋_GBK" w:hAnsi="方正仿宋_GBK" w:eastAsia="方正仿宋_GBK" w:cs="方正仿宋_GBK"/>
          <w:sz w:val="32"/>
          <w:szCs w:val="32"/>
        </w:rPr>
        <w:t>提交项目完成报告。</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绩效指标：</w:t>
      </w:r>
      <w:r>
        <w:rPr>
          <w:rFonts w:hint="eastAsia" w:ascii="方正仿宋_GBK" w:hAnsi="方正仿宋_GBK" w:eastAsia="方正仿宋_GBK" w:cs="方正仿宋_GBK"/>
          <w:color w:val="auto"/>
          <w:sz w:val="32"/>
          <w:szCs w:val="32"/>
          <w:lang w:val="en-US" w:eastAsia="zh-CN"/>
        </w:rPr>
        <w:t>①活动策划宣传：根据全国科普月活动主题，策划和录制“我为科普月代言”宣传视频。根据活动场地、活动需求设计整场活动空间布局图、参观导览路线图，配合直播媒体设计直播流程，提供直播讲解服务。根据活动内容制定活动宣传方案，设计活动宣传海报不少于3个，发布活动预告不少于3条，其中屏媒不少于1条；发布活动信息不少于4条，其中省级媒体不少于2条；拍摄制作活动短视频不少于5个。②启动仪式：根据活动场地空间布局搭建活动舞台，提供液晶显示屏、音响、舞台、桌椅等设备设施，并安装调试到位；提供启动仪式各环节舞台背景设计、播放服务。③主场展示：根据活动需求，搭建科普成果、科普作品、志愿服务等展区，设计制作各展位展示宣传背景架并安装到位，提供展位桌椅，展位总量不少于20个。④特色活动：现场提供机器人表演、无人机表演等科技特色展示活动。⑤现场保障：项目现场服务人员不少于9人，确保项目顺利实施，不出纰漏。⑥配合行动：积极配合市科协做好与省科普月主场活动同步进行的相关工作。⑦.完成市科协交办的临时任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四、科技社团改革提能项目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（一）会企对接服务项目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为深入贯彻落实党的二十大及二十届三中、四中全会精神，深化科技社团改革，充分激发市科协所属学会的创新活力和服务能力，支持学会面向襄阳重点产业发展，针对企业技术难题、行业发展热点、成果转化需求等方面，开展会企对接活动，重点支持学会带成果带人才和企业带难题带需求开展对接交流合作，帮助企业解决具体问题，提升企业技术人员专业素养，助力襄阳产业升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3项。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2万元/项。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市科协所属学会。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2026年8月20日前完成。</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绩效指标：</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①精准对接与企业需求摸排。至少与１家及以上襄阳市相关领域企业建立正式对接联系。针对对接企业或行业，开展技术需求调研，形成1份《企业需求分析报告》或《行业需求分析报告》，内容应具体明确，至少梳理出２项以上可操作、待解决的难点或需求。②技术培训与服务活动实施。至少组织举办1场面向对接企业技术骨干或行业相关人员的专题技术培训或技术服务对接会。培训与服务活动需有明确的主题和内容设计，参与企业技术人员总数不少于10人次。邀请的授课或指导专家（至少2名）应具备副高级及以上专业技术职称或同等专业水平。③难题攻关与成效体现。针对摸排出的企业或行业需求，通过组织专家咨询、技术指导、联合研讨等形式，为对接企业提供1项以上具体难题的解决方案，深入实施并取得实效。④形成1份《会企对接服务总结报告》，报告中须详细说明对接企业情况、开展的培训与服务活动内容、为解决技术等难题所采取的措施、已取得或预期取得的成效（需有企业方的初步反馈或认可意见）。⑤项目经费专项列支、规范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left"/>
        <w:textAlignment w:val="auto"/>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（二）学会观摩交流活动项目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为深化科协系统学会改革，达到“以交流促建设”的目的，形成“一会一品牌”、“一会一特色”的襄阳样板学会，加快学会治理体系和治理方式改革，进一步提升学会综合能力，履行学会工作职责，促进各学会更好的交流与提高，促进学会综合能力提升，助力襄阳都市圈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2万元/项。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市科协所属学会（2024-2025年立项学会除外）。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2026年4月完成。</w:t>
      </w:r>
    </w:p>
    <w:p>
      <w:pPr>
        <w:keepNext w:val="0"/>
        <w:keepLines w:val="0"/>
        <w:pageBreakBefore w:val="0"/>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绩效指标：</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①组织开展1次学会会长（秘书长）联席会及观摩活动。②承办单位要制定明确可行、具有特色的活动方案，提前半个月报市科协审定。项目实施完毕10天内上报验收申请，接受项目验收。③参加观摩交流人员规模在40人以上。④提炼学会创新发展模式，形成典型经验材料。⑤采用图片直播手段进行宣传。⑥项目活动资金支出规范，符合要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五、襄阳市创新方法大赛项目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为深入贯彻落实国家创新驱动发展战略，激发全市创新创业活力，系统性推广应用创新方法，提升企业科技工作者的创新理论水平与实践能力，组织实施覆盖赛前培训、市级竞赛、参加上级赛事与往届奖励的全流程创新方法大赛活动，选拔和培育优秀创新项目与团队，力争在省级、国家级创新方法大赛中取得优异成绩，持续激发我市创新主体的参赛热情和创新活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1项。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5万元/项。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市科协所属学会。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2"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2026年10月31日前完成。</w:t>
      </w:r>
    </w:p>
    <w:p>
      <w:pPr>
        <w:keepNext w:val="0"/>
        <w:keepLines w:val="0"/>
        <w:pageBreakBefore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color w:val="auto"/>
          <w:sz w:val="32"/>
          <w:szCs w:val="32"/>
          <w:lang w:val="en-US" w:eastAsia="zh-CN"/>
        </w:rPr>
        <w:t>绩效指标：</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①系统组织赛前创新方法培训。在市级大赛正式启动前，至少组织2场基于TRIZ理论的专项创新方法培训。培训需面向重点和潜在企业参赛对象，总培训人次不少于200人次。培训需配备专业讲师与系统教材，确保培训质量，并留存培训通知、签到记录、课件、现场照片等过程材料。②举办襄阳市创新方法大赛。制定详细的大赛实施方案并成功举办市级大赛，有效组织动员，确保参赛队伍数量不少于40个，组织严谨有序，公平公正，完成大赛全部环节，并邀请具有省赛评委经历的专家2人以上担任市赛评委，给予现场指导。大赛全程需保留完整档案资料。③组织省赛报名及参加省级以上赛事。动员、选拔、推荐优秀团队参加湖北省创新方法大赛，负责上级赛事的报名协调、赛前强化辅导与赛事服务保障，确保我市实际参加省赛队伍数量不少于20个，获得省赛一等奖不少于2个、二等奖不少于3个、三等奖不少于6个，至少1个队伍参加国赛，并给予一定的奖励。完成省赛获奖优秀项目汇编。④项目宣传与总结。对培训、市赛及参赛省赛国赛情况进行全方位宣传。项目结束后，提交全面总结报告，涵盖从培训到奖励全过程。⑤项目活动资金支出规范，符合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六、科技创新智库课题研究项目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项目内容：</w:t>
      </w:r>
      <w:r>
        <w:rPr>
          <w:rFonts w:hint="eastAsia" w:ascii="方正仿宋_GBK" w:hAnsi="方正仿宋_GBK" w:eastAsia="方正仿宋_GBK" w:cs="方正仿宋_GBK"/>
          <w:color w:val="auto"/>
          <w:sz w:val="32"/>
          <w:szCs w:val="32"/>
        </w:rPr>
        <w:t>组织全市广大科技工作者</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围绕党委和政府中心工作，服务经济社会发展需要，从科技角度提供决策咨询参考；就科技工作者普遍关心的问题开展专题调研，反映科技工作者状况和意见、建议；围绕科协自身建设开展专题调研，为深化科协改革提供决策</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项目数量：</w:t>
      </w:r>
      <w:r>
        <w:rPr>
          <w:rFonts w:hint="eastAsia" w:ascii="方正仿宋_GBK" w:hAnsi="方正仿宋_GBK" w:eastAsia="方正仿宋_GBK" w:cs="方正仿宋_GBK"/>
          <w:color w:val="auto"/>
          <w:sz w:val="32"/>
          <w:szCs w:val="32"/>
          <w:lang w:val="en-US" w:eastAsia="zh-CN"/>
        </w:rPr>
        <w:t>5项。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经费额度：</w:t>
      </w:r>
      <w:r>
        <w:rPr>
          <w:rFonts w:hint="eastAsia" w:ascii="方正仿宋_GBK" w:hAnsi="方正仿宋_GBK" w:eastAsia="方正仿宋_GBK" w:cs="方正仿宋_GBK"/>
          <w:b w:val="0"/>
          <w:bCs w:val="0"/>
          <w:color w:val="auto"/>
          <w:sz w:val="32"/>
          <w:szCs w:val="32"/>
          <w:lang w:val="en-US" w:eastAsia="zh-CN"/>
        </w:rPr>
        <w:t>重点课题（1项，经费不超过3万元/项）、一般课题（4项，经费不超过2万元/项）。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课题方向：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磷煤化工产业绿色循环与价值链提升技术路径研究；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襄阳市一体推进教育科技人才一体发展策略研究；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pacing w:val="-11"/>
          <w:sz w:val="32"/>
          <w:szCs w:val="32"/>
        </w:rPr>
        <w:t>以深入推进“三区”协同为牵引</w:t>
      </w:r>
      <w:r>
        <w:rPr>
          <w:rFonts w:hint="eastAsia" w:ascii="方正仿宋_GBK" w:hAnsi="方正仿宋_GBK" w:eastAsia="方正仿宋_GBK" w:cs="方正仿宋_GBK"/>
          <w:color w:val="auto"/>
          <w:spacing w:val="-11"/>
          <w:sz w:val="32"/>
          <w:szCs w:val="32"/>
          <w:lang w:eastAsia="zh-CN"/>
        </w:rPr>
        <w:t>，</w:t>
      </w:r>
      <w:r>
        <w:rPr>
          <w:rFonts w:hint="eastAsia" w:ascii="方正仿宋_GBK" w:hAnsi="方正仿宋_GBK" w:eastAsia="方正仿宋_GBK" w:cs="方正仿宋_GBK"/>
          <w:color w:val="auto"/>
          <w:spacing w:val="-11"/>
          <w:sz w:val="32"/>
          <w:szCs w:val="32"/>
        </w:rPr>
        <w:t>提升城市品质对策研究；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襄阳市军民产业融合发展</w:t>
      </w:r>
      <w:r>
        <w:rPr>
          <w:rFonts w:hint="eastAsia" w:ascii="方正仿宋_GBK" w:hAnsi="方正仿宋_GBK" w:eastAsia="方正仿宋_GBK" w:cs="方正仿宋_GBK"/>
          <w:color w:val="auto"/>
          <w:sz w:val="32"/>
          <w:szCs w:val="32"/>
        </w:rPr>
        <w:t>路径研究</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5.襄阳</w:t>
      </w:r>
      <w:r>
        <w:rPr>
          <w:rFonts w:hint="eastAsia" w:ascii="方正仿宋_GBK" w:hAnsi="方正仿宋_GBK" w:eastAsia="方正仿宋_GBK" w:cs="方正仿宋_GBK"/>
          <w:color w:val="auto"/>
          <w:sz w:val="32"/>
          <w:szCs w:val="32"/>
          <w:lang w:eastAsia="zh-CN"/>
        </w:rPr>
        <w:t>市</w:t>
      </w:r>
      <w:r>
        <w:rPr>
          <w:rFonts w:hint="eastAsia" w:ascii="方正仿宋_GBK" w:hAnsi="方正仿宋_GBK" w:eastAsia="方正仿宋_GBK" w:cs="方正仿宋_GBK"/>
          <w:color w:val="auto"/>
          <w:sz w:val="32"/>
          <w:szCs w:val="32"/>
          <w:lang w:val="en-US" w:eastAsia="zh-CN"/>
        </w:rPr>
        <w:t>低空经济高质量发展路径研究；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可选择1个课题方向进行申报。</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申报对象：</w:t>
      </w:r>
      <w:r>
        <w:rPr>
          <w:rFonts w:hint="eastAsia" w:ascii="方正仿宋_GBK" w:hAnsi="方正仿宋_GBK" w:eastAsia="方正仿宋_GBK" w:cs="方正仿宋_GBK"/>
          <w:color w:val="auto"/>
          <w:sz w:val="32"/>
          <w:szCs w:val="32"/>
        </w:rPr>
        <w:t>具有独立法人资格的高等院校、科研机构、企事业单位和社会团体等，</w:t>
      </w:r>
      <w:r>
        <w:rPr>
          <w:rFonts w:hint="eastAsia" w:ascii="方正仿宋_GBK" w:hAnsi="方正仿宋_GBK" w:eastAsia="方正仿宋_GBK" w:cs="方正仿宋_GBK"/>
          <w:color w:val="auto"/>
          <w:sz w:val="32"/>
          <w:szCs w:val="32"/>
          <w:lang w:eastAsia="zh-CN"/>
        </w:rPr>
        <w:t>需</w:t>
      </w:r>
      <w:r>
        <w:rPr>
          <w:rFonts w:hint="eastAsia" w:ascii="方正仿宋_GBK" w:hAnsi="方正仿宋_GBK" w:eastAsia="方正仿宋_GBK" w:cs="方正仿宋_GBK"/>
          <w:color w:val="auto"/>
          <w:sz w:val="32"/>
          <w:szCs w:val="32"/>
        </w:rPr>
        <w:t>具有完成课题必备的人才和物质条件</w:t>
      </w:r>
      <w:r>
        <w:rPr>
          <w:rFonts w:hint="eastAsia" w:ascii="方正仿宋_GBK" w:hAnsi="方正仿宋_GBK" w:eastAsia="方正仿宋_GBK" w:cs="方正仿宋_GBK"/>
          <w:color w:val="auto"/>
          <w:sz w:val="32"/>
          <w:szCs w:val="32"/>
          <w:lang w:eastAsia="zh-CN"/>
        </w:rPr>
        <w:t>；优先考虑提供课题研究配套资金的单位和机构。</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完成时间：</w:t>
      </w:r>
      <w:r>
        <w:rPr>
          <w:rFonts w:hint="eastAsia" w:ascii="方正仿宋_GBK" w:hAnsi="方正仿宋_GBK" w:eastAsia="方正仿宋_GBK" w:cs="方正仿宋_GBK"/>
          <w:b w:val="0"/>
          <w:bCs w:val="0"/>
          <w:color w:val="auto"/>
          <w:sz w:val="32"/>
          <w:szCs w:val="32"/>
          <w:lang w:val="en-US" w:eastAsia="zh-CN"/>
        </w:rPr>
        <w:t>各课题组于2026年7月31号前完成结题验收。市科协组织专家对各课题研究成果进行评价打分，根据评价结果，市科协党组会（或主席办公会）研究确定重点课题、一般课题和资助经费额度。</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绩效</w:t>
      </w:r>
      <w:bookmarkStart w:id="0" w:name="_GoBack"/>
      <w:bookmarkEnd w:id="0"/>
      <w:r>
        <w:rPr>
          <w:rFonts w:hint="eastAsia" w:ascii="方正仿宋_GBK" w:hAnsi="方正仿宋_GBK" w:eastAsia="方正仿宋_GBK" w:cs="方正仿宋_GBK"/>
          <w:b/>
          <w:bCs/>
          <w:color w:val="auto"/>
          <w:sz w:val="32"/>
          <w:szCs w:val="32"/>
          <w:lang w:val="en-US" w:eastAsia="zh-CN"/>
        </w:rPr>
        <w:t>指标：</w:t>
      </w:r>
      <w:r>
        <w:rPr>
          <w:rFonts w:hint="eastAsia" w:ascii="方正仿宋_GBK" w:hAnsi="方正仿宋_GBK" w:eastAsia="方正仿宋_GBK" w:cs="方正仿宋_GBK"/>
          <w:color w:val="auto"/>
          <w:sz w:val="32"/>
          <w:szCs w:val="32"/>
          <w:lang w:val="en-US" w:eastAsia="zh-CN"/>
        </w:rPr>
        <w:t>①按时提交开题报告，通过开题评审；②按照开题评审确定的研究方向、重点和路径，深入开展调查研究，形成中期研究报告；③</w:t>
      </w:r>
      <w:r>
        <w:rPr>
          <w:rFonts w:hint="eastAsia" w:ascii="方正仿宋_GBK" w:hAnsi="方正仿宋_GBK" w:eastAsia="方正仿宋_GBK" w:cs="方正仿宋_GBK"/>
          <w:color w:val="auto"/>
          <w:sz w:val="32"/>
          <w:szCs w:val="32"/>
        </w:rPr>
        <w:t>按要求参加中期评估，根据专家意见，调整和修正研究方向、方法和进度。</w:t>
      </w:r>
      <w:r>
        <w:rPr>
          <w:rFonts w:hint="eastAsia" w:ascii="方正仿宋_GBK" w:hAnsi="方正仿宋_GBK" w:eastAsia="方正仿宋_GBK" w:cs="方正仿宋_GBK"/>
          <w:color w:val="auto"/>
          <w:sz w:val="32"/>
          <w:szCs w:val="32"/>
          <w:lang w:val="en-US" w:eastAsia="zh-CN"/>
        </w:rPr>
        <w:t>④提交</w:t>
      </w:r>
      <w:r>
        <w:rPr>
          <w:rFonts w:hint="eastAsia" w:ascii="方正仿宋_GBK" w:hAnsi="方正仿宋_GBK" w:eastAsia="方正仿宋_GBK" w:cs="方正仿宋_GBK"/>
          <w:color w:val="auto"/>
          <w:sz w:val="32"/>
          <w:szCs w:val="32"/>
        </w:rPr>
        <w:t>一份</w:t>
      </w:r>
      <w:r>
        <w:rPr>
          <w:rFonts w:hint="eastAsia" w:ascii="方正仿宋_GBK" w:hAnsi="方正仿宋_GBK" w:eastAsia="方正仿宋_GBK" w:cs="方正仿宋_GBK"/>
          <w:color w:val="auto"/>
          <w:sz w:val="32"/>
          <w:szCs w:val="32"/>
          <w:lang w:val="en-US" w:eastAsia="zh-CN"/>
        </w:rPr>
        <w:t>8千</w:t>
      </w:r>
      <w:r>
        <w:rPr>
          <w:rFonts w:hint="eastAsia" w:ascii="方正仿宋_GBK" w:hAnsi="方正仿宋_GBK" w:eastAsia="方正仿宋_GBK" w:cs="方正仿宋_GBK"/>
          <w:color w:val="auto"/>
          <w:sz w:val="32"/>
          <w:szCs w:val="32"/>
        </w:rPr>
        <w:t>字</w:t>
      </w:r>
      <w:r>
        <w:rPr>
          <w:rFonts w:hint="eastAsia" w:ascii="方正仿宋_GBK" w:hAnsi="方正仿宋_GBK" w:eastAsia="方正仿宋_GBK" w:cs="方正仿宋_GBK"/>
          <w:color w:val="auto"/>
          <w:sz w:val="32"/>
          <w:szCs w:val="32"/>
          <w:lang w:eastAsia="zh-CN"/>
        </w:rPr>
        <w:t>左右</w:t>
      </w:r>
      <w:r>
        <w:rPr>
          <w:rFonts w:hint="eastAsia" w:ascii="方正仿宋_GBK" w:hAnsi="方正仿宋_GBK" w:eastAsia="方正仿宋_GBK" w:cs="方正仿宋_GBK"/>
          <w:color w:val="auto"/>
          <w:sz w:val="32"/>
          <w:szCs w:val="32"/>
        </w:rPr>
        <w:t>的主报告和</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000字</w:t>
      </w:r>
      <w:r>
        <w:rPr>
          <w:rFonts w:hint="eastAsia" w:ascii="方正仿宋_GBK" w:hAnsi="方正仿宋_GBK" w:eastAsia="方正仿宋_GBK" w:cs="方正仿宋_GBK"/>
          <w:color w:val="auto"/>
          <w:sz w:val="32"/>
          <w:szCs w:val="32"/>
          <w:lang w:eastAsia="zh-CN"/>
        </w:rPr>
        <w:t>左右</w:t>
      </w:r>
      <w:r>
        <w:rPr>
          <w:rFonts w:hint="eastAsia" w:ascii="方正仿宋_GBK" w:hAnsi="方正仿宋_GBK" w:eastAsia="方正仿宋_GBK" w:cs="方正仿宋_GBK"/>
          <w:color w:val="auto"/>
          <w:sz w:val="32"/>
          <w:szCs w:val="32"/>
        </w:rPr>
        <w:t>的专题报告</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⑤所提交报告符合课题研究要求，报告查重率不超过20%，通过结题评审。⑥课题成果须得到上级领导签批或被科技智库简报、报告会等采用。⑦各课题组要围绕课题研究内容组织开展科普、科创活动。</w:t>
      </w:r>
      <w:r>
        <w:rPr>
          <w:rFonts w:hint="eastAsia" w:ascii="方正仿宋_GBK" w:hAnsi="方正仿宋_GBK" w:eastAsia="方正仿宋_GBK" w:cs="方正仿宋_GBK"/>
          <w:b w:val="0"/>
          <w:bCs w:val="0"/>
          <w:color w:val="auto"/>
          <w:sz w:val="32"/>
          <w:szCs w:val="32"/>
          <w:lang w:val="en-US" w:eastAsia="zh-CN"/>
        </w:rPr>
        <w:t>⑧</w:t>
      </w:r>
      <w:r>
        <w:rPr>
          <w:rFonts w:hint="eastAsia" w:ascii="方正仿宋_GBK" w:hAnsi="方正仿宋_GBK" w:eastAsia="方正仿宋_GBK" w:cs="方正仿宋_GBK"/>
          <w:sz w:val="32"/>
          <w:szCs w:val="32"/>
          <w:lang w:val="en-US" w:eastAsia="zh-CN"/>
        </w:rPr>
        <w:t>项目经费需专项列支、规范使用。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781C1"/>
    <w:rsid w:val="4A3781C1"/>
    <w:rsid w:val="79FF7CAD"/>
    <w:rsid w:val="7F7FA040"/>
    <w:rsid w:val="9F9FCF28"/>
    <w:rsid w:val="F5CD8E98"/>
    <w:rsid w:val="FEA7C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2025-12-04T19:33:00Z</dcterms:created>
  <dc:creator>谢梦薇</dc:creator>
  <cp:lastModifiedBy>谢梦薇</cp:lastModifiedBy>
  <cp:lastPrinted>2025-12-05T03:38:00Z</cp:lastPrinted>
  <dcterms:modified xsi:type="dcterms:W3CDTF">2025-12-08T17:58:28Z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