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6630"/>
        <w:gridCol w:w="316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项目内容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（最高限价15000元）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eastAsia="zh-CN"/>
              </w:rPr>
              <w:t>襄阳市科协二楼档案室和会议室屋顶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t>防水修缮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eastAsia="zh-CN"/>
              </w:rPr>
              <w:t>项目</w:t>
            </w:r>
          </w:p>
        </w:tc>
        <w:tc>
          <w:tcPr>
            <w:tcW w:w="663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1.旧瓦屋面除锈清理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2.自粘高弹性、高强度防水铺贴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3.接缝处液体涂刷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4.重点部位加强处理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5.招排角点加固处理</w:t>
            </w:r>
          </w:p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</w:rPr>
              <w:t>6.废物清理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地址：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负责人签字：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供应商家（章）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3F4A89"/>
    <w:rsid w:val="F13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2025-11-19T15:07:00Z</dcterms:created>
  <dc:creator>谢梦薇</dc:creator>
  <cp:lastModifiedBy>谢梦薇</cp:lastModifiedBy>
  <dcterms:modified xsi:type="dcterms:W3CDTF">2025-11-19T15:08:18Z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