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bookmarkStart w:id="0" w:name="_GoBack"/>
      <w:bookmarkEnd w:id="0"/>
    </w:p>
    <w:p/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市科协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部门整体绩效自评表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单位名称：襄阳市科学技术协会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36"/>
        <w:gridCol w:w="1320"/>
        <w:gridCol w:w="10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襄阳市科学技术协会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990.69万元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2023.73万元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2634.17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3014.42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114.44%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 xml:space="preserve"> 1、做好科协、科普事业发展工作。实施全民科学素质提升工程开支，召开全民科学素质工作推进会，培育基层科普服务能力提升项目14个、建设科普教育基地3个，开展科技下乡、全民科普日、科技周等科普活动场地费、设备费、差旅费、宣传资料费、办公耗材费等，采购科普图书，采购科普襄阳云、公众号等科普信息化平台运维服务，实施科技助力乡村振兴项目，资助精准扶贫点龙王冲村乡村振兴，派驻工作队助力乡村振兴，结合文明城市创建工作，开展科普氛围营造活动，聘请5名科普社会工作者，开展科普服务工作，农民科学素质提升专题科普活动，提升城镇劳动者科学素质。实施创新驱动助力工程，争取科技经济融合试点项目，向中国科协、省科协争取项目，赴全国学会对接专家，推进科技经济融合产业联盟建设，推进中天科技成果转化中心建设，实施学会能力提升计划，建设学会科技服务站，开展市级学会、企事业科协、高校科协活动，开展学术交流活动，开展“科创中国“试点工作。实施科技工作者服务行动，走访慰问科技工作者，开展科技人才之家建设，开展最美科技工作者学习宣传活动，开展科技工作者状况调查，开展双十佳评选活动，开展科技工作者、科协工作、科普工作宣传；开展科技工作者评选推荐工作，开展优秀自然科学论文评选活动，发挥科协组织政治引领作用，开展科技工作者、学会工作者培训工作，开展健康科普活动，推进科协决策咨询中心建设。服务党委政府科学决策，加强科技创新智库建设，开展立项课题研究。加强科协组织自身建设，落实《中国科协章程》，召开科协委员会、常委会，加强科普项目监管，开展科普经费项目绩效评价、财务审计等工作，保障科普工作正常开展，采购办公设备，贯彻落实《科普法》，采购法律服务，落实对标管理工作要求，学习对标地区经验，开展党建、平安、文明、档案创建工作，开展招才引智工作，落实上级科协和市委、市政府安排的临时性工作任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、做好我市青年科技英才开发计划。根据市委、市政府《关于深化人才发展体制机制改革，促进人才创新创业的实施意见》（襄发〔2017〕10号文），为落实创新驱动发展战略，加强青年科技后备人才队伍建设，每年评选青年科技英才计划人选10名，连续资助5年，2021年拟对2018-2020年获评人员进行资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3、做好院士专家工作站评选及建设工作。根据我市人才工作相关政策，根据湖北省科协院士专家工作站批复结果，2021年拟对15家院士专家工作站企业进行奖励补助。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4、做好科技馆综合业务管理工作。2021年做好工程结算审计服务，保障工程费用支付公平公正；通过台式计算机、空调、投影仪打印设备等办公设备更新、公车运行保障、复印纸采购等保障日常公务活动正常开展；做好老馆各项综合创建工作，保障新馆顺利开馆；保障党建、平安、文明等综合创建活动达标完成。职工对单位运行满意度达90%以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、做好2020年免费开放结转项目管理。通过2021年物业管理服务及水电暖、日常维修等综合保障工作，推动免费开放深入实施；2021年拟参考唐山科技馆、日照科技馆体量及工作人员数量，采购场馆运营服务项目，聘用专业管理人员对场馆进行运营及管理，不断提升科技馆服务质量，提高公众获得感和认可度；繁荣开展科普展教活动，不断丰富活动形式及活动内容。拟完成流动科技馆巡展、科普大篷车进校园活动、大型节假日科普活动、科普竞赛、专项培训等，不断扩大活动覆盖面，提升活动效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6、做好国有资产出租房屋维修工作。在经费范围内对出租房及时维修。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7、做好院士专家工作站建设管理工作。对已建院士专家工作站进行日常管理，开展拟建站企业培育工作，举办院士专家工作站建设培训、参加上级组织的各类对接培训活动，赴全国各地联系拜访院士专家，促成高校院士、专家来襄开展技术对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2021年项目总个数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政府专项项目个数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上级专项结转资金项目个数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2021年机构运行人数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49人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整体项目指标成本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1411.9万元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2023.73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机构运行基本支出成本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1122.1万元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990.69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总体项目预算及绩效完成比例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各项工作合法、合规及项目执行效果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公众科学素养比例提升；科协社会影响力得到提升；科普活动、学会活动参与率得到提升；科协工作社会知晓率不断提升；科协在科技工作者中的示范引领作用得以发挥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全市技术创新活动蓬勃开展，创新氛围日益深厚，企业技术创新能力不断提升；科协对科技工作者凝聚力、影响力逐步提升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项目持续开展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项目持续开展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科普受众满意、科技工作者满意、科技创新企业满意、基层科普单位和组织满意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上线一体化系统，调整预算数为实际支付数，项目整体成本指标实际完成值高于年初预算，主要原因一是汽车文化项目-大学生方程式大赛376万元为政府性基金财政拨款，2021年年初未纳入预算管理；二是因科技馆新馆开放，免费开放项目增加380万元预算，2021年年初也未纳入预算管理。三是英才开发计划项目，财政转移支付75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按照相关规定，参考上一年的绩效执行情况和效果科学编制绩效申报表。加强预算管理。推行“无预算不支出”的资金支出原则，按照各部室上报-财务部门汇总统筹-集体研究确定的程序进一步强化预算管理，加强项目支出范围及额度确定的科学性。加强预算执行管理，严格按照批复预算开展项目实施，强化预算执行监督，提高预算执行成效。坚持专款专用，各项目进行专项核算，资金的支付有完整的审批程序和手续。另一方面是强化例会制度，每月底按照预算执行路径逐项销号、核对，确保预算执行效率及效果。本年度将继续加强绩效管理，通过绩效找出工作中的问题，推进发展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黑体" w:hAnsi="宋体" w:eastAsia="黑体" w:cs="黑体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AF433F"/>
    <w:rsid w:val="03FB0DF4"/>
    <w:rsid w:val="0B6368C7"/>
    <w:rsid w:val="0C4E5E32"/>
    <w:rsid w:val="0FF21991"/>
    <w:rsid w:val="1183057E"/>
    <w:rsid w:val="1CF145FB"/>
    <w:rsid w:val="24113F18"/>
    <w:rsid w:val="294D3BB6"/>
    <w:rsid w:val="29A80723"/>
    <w:rsid w:val="2B4F1850"/>
    <w:rsid w:val="2C076F19"/>
    <w:rsid w:val="350F7EFE"/>
    <w:rsid w:val="39273355"/>
    <w:rsid w:val="3AC702FC"/>
    <w:rsid w:val="3DBA2B5B"/>
    <w:rsid w:val="47743B44"/>
    <w:rsid w:val="497A5F98"/>
    <w:rsid w:val="49D246CF"/>
    <w:rsid w:val="55AF2676"/>
    <w:rsid w:val="57B81486"/>
    <w:rsid w:val="58FD37D0"/>
    <w:rsid w:val="5B1E01CB"/>
    <w:rsid w:val="5BE62C0B"/>
    <w:rsid w:val="5F6F16D0"/>
    <w:rsid w:val="6770676C"/>
    <w:rsid w:val="6A155836"/>
    <w:rsid w:val="6AF160FE"/>
    <w:rsid w:val="6BC849C4"/>
    <w:rsid w:val="6F5E4911"/>
    <w:rsid w:val="6FCF2FC1"/>
    <w:rsid w:val="723A6C34"/>
    <w:rsid w:val="7334084B"/>
    <w:rsid w:val="7B317800"/>
    <w:rsid w:val="7C3A4796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微软用户</dc:creator>
  <cp:lastModifiedBy>科协陈刚</cp:lastModifiedBy>
  <cp:lastPrinted>2022-03-30T03:05:15Z</cp:lastPrinted>
  <dcterms:modified xsi:type="dcterms:W3CDTF">2022-03-30T03:09:46Z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